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 rental business plan</w:t>
      </w:r>
    </w:p>
    <w:p>
      <w:pPr>
        <w:pStyle w:val="Subtitle"/>
      </w:pPr>
      <w:r>
        <w:t>Editable template and completed five car example</w:t>
      </w:r>
    </w:p>
    <w:p>
      <w:r>
        <w:t>Start with the editable template, then use the completed example to follow the financial calculations. Replace bracketed fields, attach supporting evidence and recalculate the model with your own assumptions. The example is not a market forecast or a financing offer.</w:t>
      </w:r>
    </w:p>
    <w:p>
      <w:pPr>
        <w:pStyle w:val="Heading1"/>
      </w:pPr>
      <w:r>
        <w:t>Your business and decision</w:t>
      </w:r>
    </w:p>
    <w:p>
      <w:r>
        <w:rPr>
          <w:b/>
        </w:rPr>
        <w:t xml:space="preserve">Company and owner </w:t>
      </w:r>
      <w:r>
        <w:t>[business name, legal structure, owner names and contact details]</w:t>
      </w:r>
    </w:p>
    <w:p>
      <w:r>
        <w:rPr>
          <w:b/>
        </w:rPr>
        <w:t xml:space="preserve">Location and date </w:t>
      </w:r>
      <w:r>
        <w:t>[service area, collection point, operating territory and revision date]</w:t>
      </w:r>
    </w:p>
    <w:p>
      <w:r>
        <w:rPr>
          <w:b/>
        </w:rPr>
        <w:t xml:space="preserve">Purpose </w:t>
      </w:r>
      <w:r>
        <w:t>[owner decision, lender application, investor proposal or operating plan]</w:t>
      </w:r>
    </w:p>
    <w:p>
      <w:pPr>
        <w:pStyle w:val="Heading1"/>
      </w:pPr>
      <w:r>
        <w:t>Executive summary</w:t>
      </w:r>
    </w:p>
    <w:p>
      <w:r>
        <w:rPr>
          <w:b/>
        </w:rPr>
        <w:t xml:space="preserve">Service and customer </w:t>
      </w:r>
      <w:r>
        <w:t>[specific first customer segment, vehicle classes and rental duration]</w:t>
      </w:r>
    </w:p>
    <w:p>
      <w:r>
        <w:rPr>
          <w:b/>
        </w:rPr>
        <w:t xml:space="preserve">Funding request </w:t>
      </w:r>
      <w:r>
        <w:t>[total opening cash, owner equity, proposed debt and use of funds]</w:t>
      </w:r>
    </w:p>
    <w:p>
      <w:r>
        <w:rPr>
          <w:b/>
        </w:rPr>
        <w:t xml:space="preserve">Expected result </w:t>
      </w:r>
      <w:r>
        <w:t>[first year paid days, revenue, operating cash and profit with exclusions]</w:t>
      </w:r>
    </w:p>
    <w:p>
      <w:r>
        <w:rPr>
          <w:b/>
        </w:rPr>
        <w:t xml:space="preserve">Launch conditions </w:t>
      </w:r>
      <w:r>
        <w:t>[unresolved insurance, vehicle permissions, local approvals and demand evidence]</w:t>
      </w:r>
    </w:p>
    <w:p>
      <w:pPr>
        <w:pStyle w:val="Heading1"/>
      </w:pPr>
      <w:r>
        <w:t>Market and customer evidence</w:t>
      </w:r>
    </w:p>
    <w:p>
      <w:r>
        <w:t>Describe the customer problem, existing alternatives and why the proposed service is suitable. Compare like for like rental dates, vehicles, mileage and payment terms. Keep expressions of interest separate from signed commitments.</w:t>
      </w:r>
    </w:p>
    <w:tbl>
      <w:tblPr>
        <w:tblW w:type="auto" w:w="0"/>
        <w:jc w:val="center"/>
        <w:tblLayout w:type="fixed"/>
        <w:tblLook w:firstColumn="1" w:firstRow="1" w:lastColumn="0" w:lastRow="0" w:noHBand="0" w:noVBand="1" w:val="04A0"/>
      </w:tblPr>
      <w:tblGrid>
        <w:gridCol w:w="3024"/>
        <w:gridCol w:w="7056"/>
      </w:tblGrid>
      <w:tr>
        <w:trPr>
          <w:cantSplit/>
          <w:tblHeader/>
        </w:trPr>
        <w:tc>
          <w:tcPr>
            <w:tcW w:type="dxa" w:w="302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Evidence to collect</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Your evidence and date</w:t>
            </w:r>
          </w:p>
        </w:tc>
      </w:tr>
      <w:tr>
        <w:trPr>
          <w:cantSplit/>
        </w:trPr>
        <w:tc>
          <w:tcPr>
            <w:tcW w:type="dxa" w:w="302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Customer demand</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[interviews, booking enquiries, repeat needs]</w:t>
            </w:r>
          </w:p>
        </w:tc>
      </w:tr>
      <w:tr>
        <w:trPr>
          <w:cantSplit/>
        </w:trPr>
        <w:tc>
          <w:tcPr>
            <w:tcW w:type="dxa" w:w="302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Competitor offer</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[comparable quote, location, service hours]</w:t>
            </w:r>
          </w:p>
        </w:tc>
      </w:tr>
      <w:tr>
        <w:trPr>
          <w:cantSplit/>
        </w:trPr>
        <w:tc>
          <w:tcPr>
            <w:tcW w:type="dxa" w:w="302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Potential partner</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[contact, referral process, commitment status]</w:t>
            </w:r>
          </w:p>
        </w:tc>
      </w:tr>
      <w:tr>
        <w:trPr>
          <w:cantSplit/>
        </w:trPr>
        <w:tc>
          <w:tcPr>
            <w:tcW w:type="dxa" w:w="302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Capacity and access</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[parking, collection access, delivery travel time]</w:t>
            </w:r>
          </w:p>
        </w:tc>
      </w:tr>
    </w:tbl>
    <w:p/>
    <w:p>
      <w:r>
        <w:br w:type="page"/>
      </w:r>
    </w:p>
    <w:p>
      <w:pPr>
        <w:pStyle w:val="Heading1"/>
      </w:pPr>
      <w:r>
        <w:t>Fleet and daily operations</w:t>
      </w:r>
    </w:p>
    <w:p>
      <w:r>
        <w:rPr>
          <w:b/>
        </w:rPr>
        <w:t xml:space="preserve">Fleet plan </w:t>
      </w:r>
      <w:r>
        <w:t>[vehicle class, count, acquisition cost, funding, preparation, holding period and resale assumption]</w:t>
      </w:r>
    </w:p>
    <w:p>
      <w:r>
        <w:rPr>
          <w:b/>
        </w:rPr>
        <w:t xml:space="preserve">Availability </w:t>
      </w:r>
      <w:r>
        <w:t>[how reservations, maintenance blocks, late returns and replacement vehicles are handled]</w:t>
      </w:r>
    </w:p>
    <w:p>
      <w:r>
        <w:rPr>
          <w:b/>
        </w:rPr>
        <w:t xml:space="preserve">Customer process </w:t>
      </w:r>
      <w:r>
        <w:t>[enquiry, driver checks, payment, agreement, condition record, handover, return and final settlement]</w:t>
      </w:r>
    </w:p>
    <w:p>
      <w:r>
        <w:rPr>
          <w:b/>
        </w:rPr>
        <w:t xml:space="preserve">Exceptions </w:t>
      </w:r>
      <w:r>
        <w:t>[responsible person and response for damage, breakdown, late return and out of hours collection]</w:t>
      </w:r>
    </w:p>
    <w:p>
      <w:pPr>
        <w:pStyle w:val="Heading1"/>
      </w:pPr>
      <w:r>
        <w:t>People and suppliers</w:t>
      </w:r>
    </w:p>
    <w:p>
      <w:r>
        <w:rPr>
          <w:b/>
        </w:rPr>
        <w:t xml:space="preserve">Owner and staff </w:t>
      </w:r>
      <w:r>
        <w:t>[working hours, duties, compensation, employer costs, cover and training]</w:t>
      </w:r>
    </w:p>
    <w:p>
      <w:r>
        <w:rPr>
          <w:b/>
        </w:rPr>
        <w:t xml:space="preserve">Suppliers </w:t>
      </w:r>
      <w:r>
        <w:t>[insurer, workshop, roadside assistance, accountant, legal adviser and software provider]</w:t>
      </w:r>
    </w:p>
    <w:p>
      <w:pPr>
        <w:pStyle w:val="Heading1"/>
      </w:pPr>
      <w:r>
        <w:t>Sales and marketing plan</w:t>
      </w:r>
    </w:p>
    <w:p>
      <w:r>
        <w:t>For each channel, forecast enquiries, completed bookings, average rental length and acquisition cost. Ensure the resulting paid days fit the fleet calendar. State who checks performance and when.</w:t>
      </w:r>
    </w:p>
    <w:tbl>
      <w:tblPr>
        <w:tblW w:type="auto" w:w="0"/>
        <w:jc w:val="center"/>
        <w:tblLayout w:type="fixed"/>
        <w:tblLook w:firstColumn="1" w:firstRow="1" w:lastColumn="0" w:lastRow="0" w:noHBand="0" w:noVBand="1" w:val="04A0"/>
      </w:tblPr>
      <w:tblGrid>
        <w:gridCol w:w="1872"/>
        <w:gridCol w:w="4896"/>
        <w:gridCol w:w="3312"/>
      </w:tblGrid>
      <w:tr>
        <w:trPr>
          <w:cantSplit/>
          <w:tblHeader/>
        </w:trPr>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Channel</w:t>
            </w:r>
          </w:p>
        </w:tc>
        <w:tc>
          <w:tcPr>
            <w:tcW w:type="dxa" w:w="489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First three month action</w:t>
            </w:r>
          </w:p>
        </w:tc>
        <w:tc>
          <w:tcPr>
            <w:tcW w:type="dxa" w:w="331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Budget and target</w:t>
            </w:r>
          </w:p>
        </w:tc>
      </w:tr>
      <w:tr>
        <w:trPr>
          <w:cantSplit/>
        </w:trPr>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Direct website</w:t>
            </w:r>
          </w:p>
        </w:tc>
        <w:tc>
          <w:tcPr>
            <w:tcW w:type="dxa" w:w="489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[booking flow, content and launch test]</w:t>
            </w:r>
          </w:p>
        </w:tc>
        <w:tc>
          <w:tcPr>
            <w:tcW w:type="dxa" w:w="331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[cost, enquiries, bookings]</w:t>
            </w:r>
          </w:p>
        </w:tc>
      </w:tr>
      <w:tr>
        <w:trPr>
          <w:cantSplit/>
        </w:trPr>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Local search</w:t>
            </w:r>
          </w:p>
        </w:tc>
        <w:tc>
          <w:tcPr>
            <w:tcW w:type="dxa" w:w="489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[real location details and reviews process]</w:t>
            </w:r>
          </w:p>
        </w:tc>
        <w:tc>
          <w:tcPr>
            <w:tcW w:type="dxa" w:w="331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[cost, calls, bookings]</w:t>
            </w:r>
          </w:p>
        </w:tc>
      </w:tr>
      <w:tr>
        <w:trPr>
          <w:cantSplit/>
        </w:trPr>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Referral partners</w:t>
            </w:r>
          </w:p>
        </w:tc>
        <w:tc>
          <w:tcPr>
            <w:tcW w:type="dxa" w:w="489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[named prospects and follow up]</w:t>
            </w:r>
          </w:p>
        </w:tc>
        <w:tc>
          <w:tcPr>
            <w:tcW w:type="dxa" w:w="331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[cost, agreed terms]</w:t>
            </w:r>
          </w:p>
        </w:tc>
      </w:tr>
      <w:tr>
        <w:trPr>
          <w:cantSplit/>
        </w:trPr>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Paid campaign</w:t>
            </w:r>
          </w:p>
        </w:tc>
        <w:tc>
          <w:tcPr>
            <w:tcW w:type="dxa" w:w="489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[audience, dates and stopping rule]</w:t>
            </w:r>
          </w:p>
        </w:tc>
        <w:tc>
          <w:tcPr>
            <w:tcW w:type="dxa" w:w="331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[spend and booking cost]</w:t>
            </w:r>
          </w:p>
        </w:tc>
      </w:tr>
    </w:tbl>
    <w:p/>
    <w:p>
      <w:pPr>
        <w:pStyle w:val="Heading1"/>
      </w:pPr>
      <w:r>
        <w:t>Risks and launch milestones</w:t>
      </w:r>
    </w:p>
    <w:tbl>
      <w:tblPr>
        <w:tblW w:type="auto" w:w="0"/>
        <w:jc w:val="center"/>
        <w:tblLayout w:type="fixed"/>
        <w:tblLook w:firstColumn="1" w:firstRow="1" w:lastColumn="0" w:lastRow="0" w:noHBand="0" w:noVBand="1" w:val="04A0"/>
      </w:tblPr>
      <w:tblGrid>
        <w:gridCol w:w="2304"/>
        <w:gridCol w:w="6336"/>
        <w:gridCol w:w="1440"/>
      </w:tblGrid>
      <w:tr>
        <w:trPr>
          <w:cantSplit/>
          <w:tblHeader/>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Issue</w:t>
            </w:r>
          </w:p>
        </w:tc>
        <w:tc>
          <w:tcPr>
            <w:tcW w:type="dxa" w:w="63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Action and owner</w:t>
            </w:r>
          </w:p>
        </w:tc>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Deadline</w:t>
            </w:r>
          </w:p>
        </w:tc>
      </w:tr>
      <w:tr>
        <w:trPr>
          <w:cantSplit/>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Low demand</w:t>
            </w:r>
          </w:p>
        </w:tc>
        <w:tc>
          <w:tcPr>
            <w:tcW w:type="dxa" w:w="63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[minimum evidence before fleet purchase]</w:t>
            </w:r>
          </w:p>
        </w:tc>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[date]</w:t>
            </w:r>
          </w:p>
        </w:tc>
      </w:tr>
      <w:tr>
        <w:trPr>
          <w:cantSplit/>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Insurance or permitted use</w:t>
            </w:r>
          </w:p>
        </w:tc>
        <w:tc>
          <w:tcPr>
            <w:tcW w:type="dxa" w:w="63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[written confirmation and responsible owner]</w:t>
            </w:r>
          </w:p>
        </w:tc>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[date]</w:t>
            </w:r>
          </w:p>
        </w:tc>
      </w:tr>
      <w:tr>
        <w:trPr>
          <w:cantSplit/>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Vehicle downtime</w:t>
            </w:r>
          </w:p>
        </w:tc>
        <w:tc>
          <w:tcPr>
            <w:tcW w:type="dxa" w:w="63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[repair arrangement and cash allowance]</w:t>
            </w:r>
          </w:p>
        </w:tc>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[date]</w:t>
            </w:r>
          </w:p>
        </w:tc>
      </w:tr>
      <w:tr>
        <w:trPr>
          <w:cantSplit/>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Launch readiness</w:t>
            </w:r>
          </w:p>
        </w:tc>
        <w:tc>
          <w:tcPr>
            <w:tcW w:type="dxa" w:w="63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[test booking, handover and refund]</w:t>
            </w:r>
          </w:p>
        </w:tc>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[date]</w:t>
            </w:r>
          </w:p>
        </w:tc>
      </w:tr>
    </w:tbl>
    <w:p/>
    <w:p>
      <w:r>
        <w:br w:type="page"/>
      </w:r>
    </w:p>
    <w:p>
      <w:pPr>
        <w:pStyle w:val="Heading1"/>
      </w:pPr>
      <w:r>
        <w:t>Funding and financial model</w:t>
      </w:r>
    </w:p>
    <w:p>
      <w:r>
        <w:t>State currency, country, date, tax treatment and whether vehicles are bought or financed. Record whether customer deposits, sales taxes, owner compensation and debt principal are included in each calculation.</w:t>
      </w:r>
    </w:p>
    <w:tbl>
      <w:tblPr>
        <w:tblW w:type="auto" w:w="0"/>
        <w:jc w:val="center"/>
        <w:tblLayout w:type="fixed"/>
        <w:tblLook w:firstColumn="1" w:firstRow="1" w:lastColumn="0" w:lastRow="0" w:noHBand="0" w:noVBand="1" w:val="04A0"/>
      </w:tblPr>
      <w:tblGrid>
        <w:gridCol w:w="7344"/>
        <w:gridCol w:w="2736"/>
      </w:tblGrid>
      <w:tr>
        <w:trPr>
          <w:cantSplit/>
          <w:tblHeader/>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Opening cash requirement</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Your amount</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Vehicles or cash down payment</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 ]</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Acquisition taxes, registration and preparation</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 ]</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Business setup and refundable deposits</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 ]</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Working capital retained as cash</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 ]</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Additional incident reserve</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 ]</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Total opening funding</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 ]</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Owner equity plus committed finance</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 ]</w:t>
            </w:r>
          </w:p>
        </w:tc>
      </w:tr>
    </w:tbl>
    <w:p/>
    <w:p>
      <w:pPr>
        <w:pStyle w:val="Heading2"/>
      </w:pPr>
      <w:r>
        <w:t>Editable operating assumptions</w:t>
      </w:r>
    </w:p>
    <w:tbl>
      <w:tblPr>
        <w:tblW w:type="auto" w:w="0"/>
        <w:jc w:val="center"/>
        <w:tblLayout w:type="fixed"/>
        <w:tblLook w:firstColumn="1" w:firstRow="1" w:lastColumn="0" w:lastRow="0" w:noHBand="0" w:noVBand="1" w:val="04A0"/>
      </w:tblPr>
      <w:tblGrid>
        <w:gridCol w:w="6912"/>
        <w:gridCol w:w="3168"/>
      </w:tblGrid>
      <w:tr>
        <w:trPr>
          <w:cantSplit/>
          <w:tblHeader/>
        </w:trPr>
        <w:tc>
          <w:tcPr>
            <w:tcW w:type="dxa" w:w="691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Driver</w:t>
            </w:r>
          </w:p>
        </w:tc>
        <w:tc>
          <w:tcPr>
            <w:tcW w:type="dxa" w:w="316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Your assumption</w:t>
            </w:r>
          </w:p>
        </w:tc>
      </w:tr>
      <w:tr>
        <w:trPr>
          <w:cantSplit/>
        </w:trPr>
        <w:tc>
          <w:tcPr>
            <w:tcW w:type="dxa" w:w="691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Fleet count and calendar days in each month</w:t>
            </w:r>
          </w:p>
        </w:tc>
        <w:tc>
          <w:tcPr>
            <w:tcW w:type="dxa" w:w="316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 ]</w:t>
            </w:r>
          </w:p>
        </w:tc>
      </w:tr>
      <w:tr>
        <w:trPr>
          <w:cantSplit/>
        </w:trPr>
        <w:tc>
          <w:tcPr>
            <w:tcW w:type="dxa" w:w="691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Paid days divided by calendar car days</w:t>
            </w:r>
          </w:p>
        </w:tc>
        <w:tc>
          <w:tcPr>
            <w:tcW w:type="dxa" w:w="316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 ]</w:t>
            </w:r>
          </w:p>
        </w:tc>
      </w:tr>
      <w:tr>
        <w:trPr>
          <w:cantSplit/>
        </w:trPr>
        <w:tc>
          <w:tcPr>
            <w:tcW w:type="dxa" w:w="691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Realized revenue per paid day excluding sales taxes</w:t>
            </w:r>
          </w:p>
        </w:tc>
        <w:tc>
          <w:tcPr>
            <w:tcW w:type="dxa" w:w="316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 ]</w:t>
            </w:r>
          </w:p>
        </w:tc>
      </w:tr>
      <w:tr>
        <w:trPr>
          <w:cantSplit/>
        </w:trPr>
        <w:tc>
          <w:tcPr>
            <w:tcW w:type="dxa" w:w="691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Variable costs and their driver</w:t>
            </w:r>
          </w:p>
        </w:tc>
        <w:tc>
          <w:tcPr>
            <w:tcW w:type="dxa" w:w="316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[day, booking, mile or transaction]</w:t>
            </w:r>
          </w:p>
        </w:tc>
      </w:tr>
      <w:tr>
        <w:trPr>
          <w:cantSplit/>
        </w:trPr>
        <w:tc>
          <w:tcPr>
            <w:tcW w:type="dxa" w:w="691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Fixed operating costs including owner compensation</w:t>
            </w:r>
          </w:p>
        </w:tc>
        <w:tc>
          <w:tcPr>
            <w:tcW w:type="dxa" w:w="316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 ]</w:t>
            </w:r>
          </w:p>
        </w:tc>
      </w:tr>
      <w:tr>
        <w:trPr>
          <w:cantSplit/>
        </w:trPr>
        <w:tc>
          <w:tcPr>
            <w:tcW w:type="dxa" w:w="691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Debt amount, rate, term and payment</w:t>
            </w:r>
          </w:p>
        </w:tc>
        <w:tc>
          <w:tcPr>
            <w:tcW w:type="dxa" w:w="316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 ]</w:t>
            </w:r>
          </w:p>
        </w:tc>
      </w:tr>
      <w:tr>
        <w:trPr>
          <w:cantSplit/>
        </w:trPr>
        <w:tc>
          <w:tcPr>
            <w:tcW w:type="dxa" w:w="691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Vehicle residual value and useful life</w:t>
            </w:r>
          </w:p>
        </w:tc>
        <w:tc>
          <w:tcPr>
            <w:tcW w:type="dxa" w:w="316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 ]</w:t>
            </w:r>
          </w:p>
        </w:tc>
      </w:tr>
    </w:tbl>
    <w:p/>
    <w:p>
      <w:pPr>
        <w:pStyle w:val="Heading2"/>
      </w:pPr>
      <w:r>
        <w:t>Calculation sequence</w:t>
      </w:r>
    </w:p>
    <w:p>
      <w:r>
        <w:t>Paid days = fleet count × calendar days × utilization. Revenue = paid days × realized daily rate. Contribution = revenue − variable costs. Operating cash before financing = contribution − fixed operating cash costs. Cash after debt = operating cash before financing − principal and interest payments.</w:t>
      </w:r>
    </w:p>
    <w:p>
      <w:r>
        <w:t>For accounting profit, deduct applicable depreciation and interest rather than the whole loan repayment. Opening vehicle purchases and future replacement spending belong in the cash and asset schedules. Build monthly columns for year one and the longer horizon required by the reader.</w:t>
      </w:r>
    </w:p>
    <w:p>
      <w:pPr>
        <w:pStyle w:val="Heading2"/>
      </w:pPr>
      <w:r>
        <w:t>Appendix to attach</w:t>
      </w:r>
    </w:p>
    <w:p>
      <w:r>
        <w:t>Supplier and insurance quotations, financing terms, research log, vehicle list, management details, local permissions, contract review and a monthly cash forecast. Ask the intended lender which additional financial statements and personal information it requires.</w:t>
      </w:r>
    </w:p>
    <w:p>
      <w:r>
        <w:br w:type="page"/>
      </w:r>
    </w:p>
    <w:p>
      <w:pPr>
        <w:pStyle w:val="Title"/>
      </w:pPr>
      <w:r>
        <w:t>Completed five car example</w:t>
      </w:r>
    </w:p>
    <w:p>
      <w:pPr>
        <w:pStyle w:val="Subtitle"/>
      </w:pPr>
      <w:r>
        <w:t>Hypothetical independent off airport operation in USD</w:t>
      </w:r>
    </w:p>
    <w:p>
      <w:r>
        <w:t>Prepared as a planning exercise for September 2026. Every commercial number below is an assumption. There are no actual customer commitments, insurer quotations or operating results behind this example.</w:t>
      </w:r>
    </w:p>
    <w:p>
      <w:pPr>
        <w:pStyle w:val="Heading1"/>
      </w:pPr>
      <w:r>
        <w:t>Proposal and customer</w:t>
      </w:r>
    </w:p>
    <w:p>
      <w:r>
        <w:t>The proposed company will operate five compact cars from one neighborhood collection point. The owner will handle reservations, collection and returns. Local drivers needing a replacement car form the first target segment; weekend leisure rentals fill remaining availability. Delivery is excluded from the initial offer until staffing and travel costs have been tested.</w:t>
      </w:r>
    </w:p>
    <w:p>
      <w:r>
        <w:t>Before launch, the owner will interview repair businesses and prospective renters, compare like for like local quotes and confirm access to suitable premises. Expressions of interest will remain outside committed sales until terms are agreed. No claim of unmet local demand is made in this example.</w:t>
      </w:r>
    </w:p>
    <w:p>
      <w:pPr>
        <w:pStyle w:val="Heading1"/>
      </w:pPr>
      <w:r>
        <w:t>Fleet and operations</w:t>
      </w:r>
    </w:p>
    <w:p>
      <w:r>
        <w:t>Five cars cost $20,000 each, with $1,000 acquisition tax and registration allowance and $500 preparation per car. They are purchased outright. The planning horizon assumes an $8,000 residual value after 60 months; the resulting simplified fleet depreciation is $1,000 monthly.</w:t>
      </w:r>
    </w:p>
    <w:p>
      <w:r>
        <w:t>The owner checks availability before confirmation, records driver and payment details, prepares the agreement and completes a signed condition record at issue and return. Cars awaiting repairs are blocked from reservations. A workshop and replacement arrangement must be agreed before taking bookings.</w:t>
      </w:r>
    </w:p>
    <w:p>
      <w:pPr>
        <w:pStyle w:val="Heading1"/>
      </w:pPr>
      <w:r>
        <w:t>Opening funding</w:t>
      </w:r>
    </w:p>
    <w:tbl>
      <w:tblPr>
        <w:tblW w:type="auto" w:w="0"/>
        <w:jc w:val="center"/>
        <w:tblLayout w:type="fixed"/>
        <w:tblLook w:firstColumn="1" w:firstRow="1" w:lastColumn="0" w:lastRow="0" w:noHBand="0" w:noVBand="1" w:val="04A0"/>
      </w:tblPr>
      <w:tblGrid>
        <w:gridCol w:w="7344"/>
        <w:gridCol w:w="2736"/>
      </w:tblGrid>
      <w:tr>
        <w:trPr>
          <w:cantSplit/>
          <w:tblHeader/>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Use of owner funds</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USD</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Vehicle purchase</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100,000</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Acquisition and preparation</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7,500</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Professional fees, equipment, website, deposits and launch</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7,500</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Three months of fixed operating cash</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13,200</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Separate incident reserve</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5,000</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Total owner funding required</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133,200</w:t>
            </w:r>
          </w:p>
        </w:tc>
      </w:tr>
    </w:tbl>
    <w:p/>
    <w:p>
      <w:r>
        <w:t>The $7,500 setup allowance consists of professional fees $1,500, equipment $1,000, website $1,500, refundable premises deposit $2,000, insurance setup fees $500 and launch marketing $1,000. Reserves remain cash until spent.</w:t>
      </w:r>
    </w:p>
    <w:p>
      <w:r>
        <w:br w:type="page"/>
      </w:r>
    </w:p>
    <w:p>
      <w:pPr>
        <w:pStyle w:val="Heading1"/>
      </w:pPr>
      <w:r>
        <w:t>Example operating forecast</w:t>
      </w:r>
    </w:p>
    <w:p>
      <w:r>
        <w:t>Each modeled month has 30 days. Utilization includes downtime and is measured against calendar car days. Revenue is $70 per paid day and variable cash costs are $10 per paid day. Sales taxes, customer deposits, debt, income tax and future vehicle purchases are excluded.</w:t>
      </w:r>
    </w:p>
    <w:tbl>
      <w:tblPr>
        <w:tblW w:type="auto" w:w="0"/>
        <w:jc w:val="center"/>
        <w:tblLayout w:type="fixed"/>
        <w:tblLook w:firstColumn="1" w:firstRow="1" w:lastColumn="0" w:lastRow="0" w:noHBand="0" w:noVBand="1" w:val="04A0"/>
      </w:tblPr>
      <w:tblGrid>
        <w:gridCol w:w="7344"/>
        <w:gridCol w:w="2736"/>
      </w:tblGrid>
      <w:tr>
        <w:trPr>
          <w:cantSplit/>
          <w:tblHeader/>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Fixed monthly cash cost</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USD</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Insurance</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1,250</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Premises</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500</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Software</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100</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Ongoing marketing</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300</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Administration and utilities</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250</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Owner compensation</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2,000</w:t>
            </w:r>
          </w:p>
        </w:tc>
      </w:tr>
      <w:tr>
        <w:trPr>
          <w:cantSplit/>
        </w:trPr>
        <w:tc>
          <w:tcPr>
            <w:tcW w:type="dxa" w:w="73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Total</w:t>
            </w:r>
          </w:p>
        </w:tc>
        <w:tc>
          <w:tcPr>
            <w:tcW w:type="dxa" w:w="273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4,400</w:t>
            </w:r>
          </w:p>
        </w:tc>
      </w:tr>
    </w:tbl>
    <w:p/>
    <w:tbl>
      <w:tblPr>
        <w:tblW w:type="auto" w:w="0"/>
        <w:jc w:val="center"/>
        <w:tblLayout w:type="fixed"/>
        <w:tblLook w:firstColumn="1" w:firstRow="1" w:lastColumn="0" w:lastRow="0" w:noHBand="0" w:noVBand="1" w:val="04A0"/>
      </w:tblPr>
      <w:tblGrid>
        <w:gridCol w:w="1152"/>
        <w:gridCol w:w="2016"/>
        <w:gridCol w:w="2880"/>
        <w:gridCol w:w="4032"/>
      </w:tblGrid>
      <w:tr>
        <w:trPr>
          <w:cantSplit/>
          <w:tblHeader/>
        </w:trPr>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Month</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Utilization</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Revenue USD</w:t>
            </w:r>
          </w:p>
        </w:tc>
        <w:tc>
          <w:tcPr>
            <w:tcW w:type="dxa" w:w="40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Operating cash USD</w:t>
            </w:r>
          </w:p>
        </w:tc>
      </w:tr>
      <w:tr>
        <w:trPr>
          <w:cantSplit/>
        </w:trPr>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1</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35%</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3,675</w:t>
            </w:r>
          </w:p>
        </w:tc>
        <w:tc>
          <w:tcPr>
            <w:tcW w:type="dxa" w:w="40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−1,250</w:t>
            </w:r>
          </w:p>
        </w:tc>
      </w:tr>
      <w:tr>
        <w:trPr>
          <w:cantSplit/>
        </w:trPr>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2</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45%</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4,725</w:t>
            </w:r>
          </w:p>
        </w:tc>
        <w:tc>
          <w:tcPr>
            <w:tcW w:type="dxa" w:w="40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−350</w:t>
            </w:r>
          </w:p>
        </w:tc>
      </w:tr>
      <w:tr>
        <w:trPr>
          <w:cantSplit/>
        </w:trPr>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3</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55%</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5,775</w:t>
            </w:r>
          </w:p>
        </w:tc>
        <w:tc>
          <w:tcPr>
            <w:tcW w:type="dxa" w:w="40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550</w:t>
            </w:r>
          </w:p>
        </w:tc>
      </w:tr>
      <w:tr>
        <w:trPr>
          <w:cantSplit/>
        </w:trPr>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4</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60%</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6,300</w:t>
            </w:r>
          </w:p>
        </w:tc>
        <w:tc>
          <w:tcPr>
            <w:tcW w:type="dxa" w:w="40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1,000</w:t>
            </w:r>
          </w:p>
        </w:tc>
      </w:tr>
      <w:tr>
        <w:trPr>
          <w:cantSplit/>
        </w:trPr>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5</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65%</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6,825</w:t>
            </w:r>
          </w:p>
        </w:tc>
        <w:tc>
          <w:tcPr>
            <w:tcW w:type="dxa" w:w="40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1,450</w:t>
            </w:r>
          </w:p>
        </w:tc>
      </w:tr>
      <w:tr>
        <w:trPr>
          <w:cantSplit/>
        </w:trPr>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6</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70%</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7,350</w:t>
            </w:r>
          </w:p>
        </w:tc>
        <w:tc>
          <w:tcPr>
            <w:tcW w:type="dxa" w:w="40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1,900</w:t>
            </w:r>
          </w:p>
        </w:tc>
      </w:tr>
      <w:tr>
        <w:trPr>
          <w:cantSplit/>
        </w:trPr>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7</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75%</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7,875</w:t>
            </w:r>
          </w:p>
        </w:tc>
        <w:tc>
          <w:tcPr>
            <w:tcW w:type="dxa" w:w="40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2,350</w:t>
            </w:r>
          </w:p>
        </w:tc>
      </w:tr>
      <w:tr>
        <w:trPr>
          <w:cantSplit/>
        </w:trPr>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8</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75%</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7,875</w:t>
            </w:r>
          </w:p>
        </w:tc>
        <w:tc>
          <w:tcPr>
            <w:tcW w:type="dxa" w:w="40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2,350</w:t>
            </w:r>
          </w:p>
        </w:tc>
      </w:tr>
      <w:tr>
        <w:trPr>
          <w:cantSplit/>
        </w:trPr>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9</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70%</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7,350</w:t>
            </w:r>
          </w:p>
        </w:tc>
        <w:tc>
          <w:tcPr>
            <w:tcW w:type="dxa" w:w="40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1,900</w:t>
            </w:r>
          </w:p>
        </w:tc>
      </w:tr>
      <w:tr>
        <w:trPr>
          <w:cantSplit/>
        </w:trPr>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10</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65%</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6,825</w:t>
            </w:r>
          </w:p>
        </w:tc>
        <w:tc>
          <w:tcPr>
            <w:tcW w:type="dxa" w:w="40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1,450</w:t>
            </w:r>
          </w:p>
        </w:tc>
      </w:tr>
      <w:tr>
        <w:trPr>
          <w:cantSplit/>
        </w:trPr>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11</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55%</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5,775</w:t>
            </w:r>
          </w:p>
        </w:tc>
        <w:tc>
          <w:tcPr>
            <w:tcW w:type="dxa" w:w="40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550</w:t>
            </w:r>
          </w:p>
        </w:tc>
      </w:tr>
      <w:tr>
        <w:trPr>
          <w:cantSplit/>
        </w:trPr>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12</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50%</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5,250</w:t>
            </w:r>
          </w:p>
        </w:tc>
        <w:tc>
          <w:tcPr>
            <w:tcW w:type="dxa" w:w="40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100</w:t>
            </w:r>
          </w:p>
        </w:tc>
      </w:tr>
      <w:tr>
        <w:trPr>
          <w:cantSplit/>
        </w:trPr>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Year</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60%</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75,600</w:t>
            </w:r>
          </w:p>
        </w:tc>
        <w:tc>
          <w:tcPr>
            <w:tcW w:type="dxa" w:w="403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12,000</w:t>
            </w:r>
          </w:p>
        </w:tc>
      </w:tr>
    </w:tbl>
    <w:p/>
    <w:p>
      <w:r>
        <w:t>Annual paid days are 1,080. Variable costs are $10,800 and fixed costs $52,800. After $12,000 vehicle depreciation, simplified operating profit is zero. Operating cash is before tax and capital spending and already includes owner compensation.</w:t>
      </w:r>
    </w:p>
    <w:p>
      <w:r>
        <w:br w:type="page"/>
      </w:r>
    </w:p>
    <w:p>
      <w:pPr>
        <w:pStyle w:val="Heading1"/>
      </w:pPr>
      <w:r>
        <w:t>Example break even and cash review</w:t>
      </w:r>
    </w:p>
    <w:p>
      <w:r>
        <w:t>At 70% utilization, five cars produce 105 paid days. Revenue is $7,350, variable costs $1,050 and contribution $6,300. Subtract fixed costs of $4,400 for $1,900 operating cash. Subtract $1,000 depreciation for $900 operating profit before income tax.</w:t>
      </w:r>
    </w:p>
    <w:p>
      <w:r>
        <w:t>Cash operating break even is $4,400 ÷ $60 contribution per paid day = 73.3 paid days monthly, or 48.9% utilization. Including depreciation gives 90 paid days, or 60%. A financed fleet needs a separate cash debt repayment calculation and interest treatment for profit.</w:t>
      </w:r>
    </w:p>
    <w:p>
      <w:r>
        <w:t>The first two months consume $1,600 of operating cash cumulatively. The example retains $18,200 after setup, comprising the working capital and incident reserves. If collections and payments follow the modeled timing and there are no other cash flows, year end cash is $30,200. This does not guarantee that the incident reserve covers a real claim.</w:t>
      </w:r>
    </w:p>
    <w:p>
      <w:pPr>
        <w:pStyle w:val="Heading1"/>
      </w:pPr>
      <w:r>
        <w:t>Downside and decisions</w:t>
      </w:r>
    </w:p>
    <w:tbl>
      <w:tblPr>
        <w:tblW w:type="auto" w:w="0"/>
        <w:jc w:val="center"/>
        <w:tblLayout w:type="fixed"/>
        <w:tblLook w:firstColumn="1" w:firstRow="1" w:lastColumn="0" w:lastRow="0" w:noHBand="0" w:noVBand="1" w:val="04A0"/>
      </w:tblPr>
      <w:tblGrid>
        <w:gridCol w:w="3240"/>
        <w:gridCol w:w="3744"/>
        <w:gridCol w:w="3096"/>
      </w:tblGrid>
      <w:tr>
        <w:trPr>
          <w:cantSplit/>
          <w:tblHeader/>
        </w:trPr>
        <w:tc>
          <w:tcPr>
            <w:tcW w:type="dxa" w:w="324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Hypothetical test</w:t>
            </w:r>
          </w:p>
        </w:tc>
        <w:tc>
          <w:tcPr>
            <w:tcW w:type="dxa" w:w="37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Result</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173A58"/>
          </w:tcPr>
          <w:p>
            <w:pPr>
              <w:spacing w:after="40" w:before="40"/>
            </w:pPr>
            <w:r>
              <w:rPr>
                <w:b/>
                <w:color w:val="FFFFFF"/>
                <w:sz w:val="20"/>
              </w:rPr>
              <w:t>Decision to review</w:t>
            </w:r>
          </w:p>
        </w:tc>
      </w:tr>
      <w:tr>
        <w:trPr>
          <w:cantSplit/>
        </w:trPr>
        <w:tc>
          <w:tcPr>
            <w:tcW w:type="dxa" w:w="324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45% utilization throughout year</w:t>
            </w:r>
          </w:p>
        </w:tc>
        <w:tc>
          <w:tcPr>
            <w:tcW w:type="dxa" w:w="37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Operating cash −$4,200 before tax and capital spending</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Demand evidence, rate and discretionary spending</w:t>
            </w:r>
          </w:p>
        </w:tc>
      </w:tr>
      <w:tr>
        <w:trPr>
          <w:cantSplit/>
        </w:trPr>
        <w:tc>
          <w:tcPr>
            <w:tcW w:type="dxa" w:w="324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70% utilization and $60 daily revenue</w:t>
            </w:r>
          </w:p>
        </w:tc>
        <w:tc>
          <w:tcPr>
            <w:tcW w:type="dxa" w:w="37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Operating cash $850 monthly</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Price assumptions and discount policy</w:t>
            </w:r>
          </w:p>
        </w:tc>
      </w:tr>
      <w:tr>
        <w:trPr>
          <w:cantSplit/>
        </w:trPr>
        <w:tc>
          <w:tcPr>
            <w:tcW w:type="dxa" w:w="324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One car unavailable for a full month at 70% on four cars</w:t>
            </w:r>
          </w:p>
        </w:tc>
        <w:tc>
          <w:tcPr>
            <w:tcW w:type="dxa" w:w="37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Operating cash $640 before additional repair cost</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FFFFF"/>
          </w:tcPr>
          <w:p>
            <w:pPr>
              <w:spacing w:after="40" w:before="40"/>
            </w:pPr>
            <w:r>
              <w:rPr>
                <w:sz w:val="20"/>
              </w:rPr>
              <w:t>Repair cash and replacement service</w:t>
            </w:r>
          </w:p>
        </w:tc>
      </w:tr>
      <w:tr>
        <w:trPr>
          <w:cantSplit/>
        </w:trPr>
        <w:tc>
          <w:tcPr>
            <w:tcW w:type="dxa" w:w="324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First year base scenario</w:t>
            </w:r>
          </w:p>
        </w:tc>
        <w:tc>
          <w:tcPr>
            <w:tcW w:type="dxa" w:w="37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Zero simplified operating profit after depreciation</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left w:w="90" w:type="dxa"/>
              <w:bottom w:w="90" w:type="dxa"/>
              <w:right w:w="90" w:type="dxa"/>
            </w:tcMar>
            <w:shd w:fill="F1F5F8"/>
          </w:tcPr>
          <w:p>
            <w:pPr>
              <w:spacing w:after="40" w:before="40"/>
            </w:pPr>
            <w:r>
              <w:rPr>
                <w:sz w:val="20"/>
              </w:rPr>
              <w:t>Capital return and launch rationale</w:t>
            </w:r>
          </w:p>
        </w:tc>
      </w:tr>
    </w:tbl>
    <w:p/>
    <w:p>
      <w:pPr>
        <w:pStyle w:val="Heading1"/>
      </w:pPr>
      <w:r>
        <w:t>Responsibilities and next review</w:t>
      </w:r>
    </w:p>
    <w:p>
      <w:r>
        <w:t>Before buying vehicles, the owner will confirm insurance and permitted use, obtain local requirements and supplier quotations, test the booking and payment process and document who responds to breakdowns. The launch decision remains conditional on those tasks and on a forecast the owner is willing to fund.</w:t>
      </w:r>
    </w:p>
    <w:p>
      <w:r>
        <w:t>After opening, compare actual paid days, realized rates, expenses and downtime with the plan monthly. Maintain a weekly cash forecast during the initial period. Add vehicles only after reviewing demand, staffing and cash capacity together.</w:t>
      </w:r>
    </w:p>
    <w:p>
      <w:pPr>
        <w:pStyle w:val="Heading2"/>
      </w:pPr>
      <w:r>
        <w:t>Planning reference</w:t>
      </w:r>
    </w:p>
    <w:p>
      <w:r>
        <w:t>U.S. Small Business Administration, Plan your business. General reference for business planning and separating startup and monthly costs. All figures and the rental scenario in this document are original hypothetical assumptions.</w:t>
      </w:r>
    </w:p>
    <w:p>
      <w:r>
        <w:t>https://www.sba.gov/counseling/plan-your-business/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TopRentApp  |  Car rental business plan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